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Mariam Bukari</w:t>
      </w:r>
    </w:p>
    <w:p>
      <w:pPr/>
      <w:r>
        <w:rPr>
          <w:b/>
        </w:rPr>
        <w:t xml:space="preserve">Senior Governance, Risk &amp; Compliance (GRC) Professional</w:t>
      </w:r>
    </w:p>
    <w:p>
      <w:pPr/>
      <w:hyperlink r:id="rId3" w:history="1">
        <w:r>
          <w:rPr>
            <w:rStyle w:val="Hyperlink"/>
          </w:rPr>
          <w:t xml:space="preserve">mariambuk11@gmail.com</w:t>
        </w:r>
      </w:hyperlink>
      <w:r>
        <w:t xml:space="preserve"> · [Phone] · [City, Country] · [LinkedIn URL]</w:t>
      </w:r>
    </w:p>
    <w:p>
      <w:pPr>
        <w:pStyle w:val="Heading2"/>
      </w:pPr>
      <w:r>
        <w:t xml:space="preserve">Professional Summary</w:t>
      </w:r>
    </w:p>
    <w:p>
      <w:pPr/>
      <w:r>
        <w:t xml:space="preserve">Senior GRC professional with 7 years of experience building and running risk-based governance, compliance and third-party risk programs across financial services, logistics and healthcare-adjacent environments. Skilled at translating frameworks such as NIST CSF 2.0, ISO/IEC 27001:2022, COSO and SOC 2 into practical controls, policies and audit-ready evidence. Executive MBA holder who pairs control expertise with business acumen, presenting risk posture to boards and executive committees in clear, decision-ready terms. Bilingual in English and French, with experience supporting cross-border and multi-regulator programs.</w:t>
      </w:r>
    </w:p>
    <w:p>
      <w:pPr>
        <w:pStyle w:val="Heading2"/>
      </w:pPr>
      <w:r>
        <w:t xml:space="preserve">Core Competencies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Area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Skills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Governance</w:t>
            </w:r>
          </w:p>
        </w:tc>
        <w:tc>
          <w:tcPr>
            <w:tcW w:w="4680" w:type="dxa"/>
          </w:tcPr>
          <w:p>
            <w:pPr/>
            <w:r>
              <w:t xml:space="preserve">Policy &amp; standards lifecycle, GRC program design, board &amp; committee reporting, KRIs/KPIs, RACI and control ownership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Risk Management</w:t>
            </w:r>
          </w:p>
        </w:tc>
        <w:tc>
          <w:tcPr>
            <w:tcW w:w="4680" w:type="dxa"/>
          </w:tcPr>
          <w:p>
            <w:pPr/>
            <w:r>
              <w:t xml:space="preserve">Enterprise &amp; IT risk assessment, risk registers, risk appetite &amp; tolerance, quantitative/qualitative analysis, risk treatment plans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Compliance &amp; Audit</w:t>
            </w:r>
          </w:p>
        </w:tc>
        <w:tc>
          <w:tcPr>
            <w:tcW w:w="4680" w:type="dxa"/>
          </w:tcPr>
          <w:p>
            <w:pPr/>
            <w:r>
              <w:t xml:space="preserve">Control design &amp; testing, internal/external audit coordination, gap assessments, remediation tracking, evidence management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Third-Party Risk</w:t>
            </w:r>
          </w:p>
        </w:tc>
        <w:tc>
          <w:tcPr>
            <w:tcW w:w="4680" w:type="dxa"/>
          </w:tcPr>
          <w:p>
            <w:pPr/>
            <w:r>
              <w:t xml:space="preserve">Vendor due diligence, security questionnaires, SOC report review, contract security clauses, ongoing monitoring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Resilience &amp; Privacy</w:t>
            </w:r>
          </w:p>
        </w:tc>
        <w:tc>
          <w:tcPr>
            <w:tcW w:w="4680" w:type="dxa"/>
          </w:tcPr>
          <w:p>
            <w:pPr/>
            <w:r>
              <w:t xml:space="preserve">Business continuity &amp; DR planning, incident response governance, data protection (GDPR, Ghana Data Protection Act 2012)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Frameworks</w:t>
            </w:r>
          </w:p>
        </w:tc>
        <w:tc>
          <w:tcPr>
            <w:tcW w:w="4680" w:type="dxa"/>
          </w:tcPr>
          <w:p>
            <w:pPr/>
            <w:r>
              <w:t xml:space="preserve">NIST CSF 2.0, NIST SP 800-53, NIST RMF, ISO/IEC 27001 &amp; 27005, ISO 31000, COSO ERM, COBIT 2019, SOC 2, PCI DSS, HIPAA, CIS Controls</w:t>
            </w:r>
          </w:p>
        </w:tc>
      </w:tr>
    </w:tbl>
    <w:p>
      <w:pPr>
        <w:pStyle w:val="Heading2"/>
      </w:pPr>
      <w:r>
        <w:t xml:space="preserve">Professional Experience</w:t>
      </w:r>
    </w:p>
    <w:p>
      <w:pPr>
        <w:pStyle w:val="Heading3"/>
      </w:pPr>
      <w:r>
        <w:t xml:space="preserve">Senior GRC Manager — [Company Name], [City, Country]</w:t>
      </w:r>
    </w:p>
    <w:p>
      <w:pPr/>
      <w:r>
        <w:rPr>
          <w:i/>
        </w:rPr>
        <w:t xml:space="preserve">Jan 2023 – Present</w:t>
      </w:r>
    </w:p>
    <w:p>
      <w:pPr>
        <w:pStyle w:val="ListParagraph"/>
        <w:numPr>
          <w:ilvl w:val="0"/>
          <w:numId w:val="2"/>
        </w:numPr>
      </w:pPr>
      <w:r>
        <w:t xml:space="preserve">Lead an enterprise GRC program covering 14 business units, aligning controls to NIST CSF 2.0 and ISO/IEC 27001:2022 and reporting quarterly risk posture to the Board Risk Committee.</w:t>
      </w:r>
    </w:p>
    <w:p>
      <w:pPr>
        <w:pStyle w:val="ListParagraph"/>
        <w:numPr>
          <w:ilvl w:val="0"/>
          <w:numId w:val="2"/>
        </w:numPr>
      </w:pPr>
      <w:r>
        <w:t xml:space="preserve">Led ISO/IEC 27001:2022 certification and transition, achieving certification with zero major nonconformities.</w:t>
      </w:r>
    </w:p>
    <w:p>
      <w:pPr>
        <w:pStyle w:val="ListParagraph"/>
        <w:numPr>
          <w:ilvl w:val="0"/>
          <w:numId w:val="2"/>
        </w:numPr>
      </w:pPr>
      <w:r>
        <w:t xml:space="preserve">Built a centralized risk register of 250+ risks with defined KRIs, reducing high-rated residual risks by 35% over 18 months.</w:t>
      </w:r>
    </w:p>
    <w:p>
      <w:pPr>
        <w:pStyle w:val="ListParagraph"/>
        <w:numPr>
          <w:ilvl w:val="0"/>
          <w:numId w:val="2"/>
        </w:numPr>
      </w:pPr>
      <w:r>
        <w:t xml:space="preserve">Redesigned the third-party risk management program, tiering 300+ vendors by criticality and cutting due-diligence cycle time from 6 weeks to 3.</w:t>
      </w:r>
    </w:p>
    <w:p>
      <w:pPr>
        <w:pStyle w:val="ListParagraph"/>
        <w:numPr>
          <w:ilvl w:val="0"/>
          <w:numId w:val="2"/>
        </w:numPr>
      </w:pPr>
      <w:r>
        <w:t xml:space="preserve">Implemented a GRC platform (ServiceNow IRM) to automate control testing, evidence collection and policy attestation, reducing audit preparation effort by 40%.</w:t>
      </w:r>
    </w:p>
    <w:p>
      <w:pPr>
        <w:pStyle w:val="ListParagraph"/>
        <w:numPr>
          <w:ilvl w:val="0"/>
          <w:numId w:val="2"/>
        </w:numPr>
      </w:pPr>
      <w:r>
        <w:t xml:space="preserve">Manage and mentor a team of 4 GRC analysts; set annual audit and assessment plans and track remediation to closure.</w:t>
      </w:r>
    </w:p>
    <w:p>
      <w:pPr>
        <w:pStyle w:val="Heading3"/>
      </w:pPr>
      <w:r>
        <w:t xml:space="preserve">Senior GRC Analyst — [Company Name], [City, Country]</w:t>
      </w:r>
    </w:p>
    <w:p>
      <w:pPr/>
      <w:r>
        <w:rPr>
          <w:i/>
        </w:rPr>
        <w:t xml:space="preserve">Mar 2021 – Dec 2022</w:t>
      </w:r>
    </w:p>
    <w:p>
      <w:pPr>
        <w:pStyle w:val="ListParagraph"/>
        <w:numPr>
          <w:ilvl w:val="0"/>
          <w:numId w:val="3"/>
        </w:numPr>
      </w:pPr>
      <w:r>
        <w:t xml:space="preserve">Coordinated SOC 2 Type II and PCI DSS assessments, managing evidence requests across IT, HR, Finance and Operations; delivered two consecutive clean opinions.</w:t>
      </w:r>
    </w:p>
    <w:p>
      <w:pPr>
        <w:pStyle w:val="ListParagraph"/>
        <w:numPr>
          <w:ilvl w:val="0"/>
          <w:numId w:val="3"/>
        </w:numPr>
      </w:pPr>
      <w:r>
        <w:t xml:space="preserve">Performed IT and operational risk assessments using ISO 31000 and NIST SP 800-30, producing risk treatment plans approved by senior management.</w:t>
      </w:r>
    </w:p>
    <w:p>
      <w:pPr>
        <w:pStyle w:val="ListParagraph"/>
        <w:numPr>
          <w:ilvl w:val="0"/>
          <w:numId w:val="3"/>
        </w:numPr>
      </w:pPr>
      <w:r>
        <w:t xml:space="preserve">Rewrote 30+ information security and compliance policies and standards, mapped to NIST SP 800-53 and CIS Controls v8.</w:t>
      </w:r>
    </w:p>
    <w:p>
      <w:pPr>
        <w:pStyle w:val="ListParagraph"/>
        <w:numPr>
          <w:ilvl w:val="0"/>
          <w:numId w:val="3"/>
        </w:numPr>
      </w:pPr>
      <w:r>
        <w:t xml:space="preserve">Ran tabletop exercises and updated business continuity and disaster recovery plans, improving RTO attainment for critical systems.</w:t>
      </w:r>
    </w:p>
    <w:p>
      <w:pPr>
        <w:pStyle w:val="ListParagraph"/>
        <w:numPr>
          <w:ilvl w:val="0"/>
          <w:numId w:val="3"/>
        </w:numPr>
      </w:pPr>
      <w:r>
        <w:t xml:space="preserve">Tracked audit findings and regulatory obligations, raising on-time remediation from 62% to 91%.</w:t>
      </w:r>
    </w:p>
    <w:p>
      <w:pPr>
        <w:pStyle w:val="Heading3"/>
      </w:pPr>
      <w:r>
        <w:t xml:space="preserve">GRC Analyst — [Company Name], [City, Country]</w:t>
      </w:r>
    </w:p>
    <w:p>
      <w:pPr/>
      <w:r>
        <w:rPr>
          <w:i/>
        </w:rPr>
        <w:t xml:space="preserve">Oct 2019 – Feb 2021</w:t>
      </w:r>
    </w:p>
    <w:p>
      <w:pPr>
        <w:pStyle w:val="ListParagraph"/>
        <w:numPr>
          <w:ilvl w:val="0"/>
          <w:numId w:val="4"/>
        </w:numPr>
      </w:pPr>
      <w:r>
        <w:t xml:space="preserve">Executed design and operating-effectiveness testing for 150+ IT general and application controls under COSO and COBIT 2019.</w:t>
      </w:r>
    </w:p>
    <w:p>
      <w:pPr>
        <w:pStyle w:val="ListParagraph"/>
        <w:numPr>
          <w:ilvl w:val="0"/>
          <w:numId w:val="4"/>
        </w:numPr>
      </w:pPr>
      <w:r>
        <w:t xml:space="preserve">Conducted vendor security reviews, analyzing questionnaires and SOC reports and documenting risk acceptances and exceptions.</w:t>
      </w:r>
    </w:p>
    <w:p>
      <w:pPr>
        <w:pStyle w:val="ListParagraph"/>
        <w:numPr>
          <w:ilvl w:val="0"/>
          <w:numId w:val="4"/>
        </w:numPr>
      </w:pPr>
      <w:r>
        <w:t xml:space="preserve">Supported data protection compliance under the Ghana Data Protection Act 2012 and GDPR, including records of processing and DPIAs.</w:t>
      </w:r>
    </w:p>
    <w:p>
      <w:pPr>
        <w:pStyle w:val="ListParagraph"/>
        <w:numPr>
          <w:ilvl w:val="0"/>
          <w:numId w:val="4"/>
        </w:numPr>
      </w:pPr>
      <w:r>
        <w:t xml:space="preserve">Prepared monthly compliance dashboards and KRI reports for the CISO and Chief Risk Officer.</w:t>
      </w:r>
    </w:p>
    <w:p>
      <w:pPr>
        <w:pStyle w:val="ListParagraph"/>
        <w:numPr>
          <w:ilvl w:val="0"/>
          <w:numId w:val="4"/>
        </w:numPr>
      </w:pPr>
      <w:r>
        <w:t xml:space="preserve">Delivered security and compliance awareness sessions in English and French to 500+ staff.</w:t>
      </w:r>
    </w:p>
    <w:p>
      <w:pPr>
        <w:pStyle w:val="Heading2"/>
      </w:pPr>
      <w:r>
        <w:t xml:space="preserve">Education</w:t>
      </w:r>
    </w:p>
    <w:p>
      <w:pPr/>
      <w:r>
        <w:rPr>
          <w:b/>
        </w:rPr>
        <w:t xml:space="preserve">Executive Master of Business Administration (EMBA)</w:t>
      </w:r>
      <w:r>
        <w:t xml:space="preserve"> Kwame Nkrumah University of Science and Technology (KNUST), Kumasi, Ghana · [Year]</w:t>
      </w:r>
    </w:p>
    <w:p>
      <w:pPr/>
      <w:r>
        <w:rPr>
          <w:b/>
        </w:rPr>
        <w:t xml:space="preserve">Bachelor of Arts, Political Science and French</w:t>
      </w:r>
      <w:r>
        <w:t xml:space="preserve"> University of Ghana, Legon, Ghana · [Year]</w:t>
      </w:r>
    </w:p>
    <w:p>
      <w:pPr>
        <w:pStyle w:val="Heading2"/>
      </w:pPr>
      <w:r>
        <w:t xml:space="preserve">Certifications, Training &amp; Tools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Certifications:</w:t>
      </w:r>
      <w:r>
        <w:t xml:space="preserve"> [e.g. CISA, CRISC, CGRC, ISO/IEC 27001 Lead Implementer — list only those held or in progress]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Professional training:</w:t>
      </w:r>
      <w:r>
        <w:t xml:space="preserve"> Schnell Academy, Governance, Risk &amp; Compliance program (SGRC-201), including an end-to-end GRC capstone for a logistics organization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Tools:</w:t>
      </w:r>
      <w:r>
        <w:t xml:space="preserve"> ServiceNow IRM, Archer, OneTrust, AuditBoard, Microsoft Purview, Jira, Power BI, Advanced Excel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Languages:</w:t>
      </w:r>
      <w:r>
        <w:t xml:space="preserve"> English (fluent), French (professional working proficiency)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mailto:mariambuk11@gmail.com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Mariam Bukari</dc:title>
  <dc:description>Claude Docs node/18be1135-0d00@7 docx-w6</dc:description>
  <cp:revision>7</cp:revision>
</cp:coreProperties>
</file>